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Cs w:val="28"/>
          <w:lang w:val="ru-RU" w:eastAsia="ru-RU" w:bidi="ar-SA"/>
        </w:rPr>
      </w:pPr>
      <w:r>
        <w:rPr>
          <w:rFonts w:cs="Times New Roman" w:ascii="Times New Roman" w:hAnsi="Times New Roman"/>
          <w:b/>
          <w:szCs w:val="28"/>
          <w:lang w:val="ru-RU" w:eastAsia="ru-RU" w:bidi="ar-SA"/>
        </w:rPr>
      </w:r>
    </w:p>
    <w:p>
      <w:pPr>
        <w:pStyle w:val="Normal"/>
        <w:tabs>
          <w:tab w:val="clear" w:pos="708"/>
          <w:tab w:val="left" w:pos="1800" w:leader="none"/>
          <w:tab w:val="left" w:pos="9540" w:leader="none"/>
        </w:tabs>
        <w:ind w:hanging="0" w:right="98"/>
        <w:jc w:val="center"/>
        <w:rPr>
          <w:i/>
          <w:i/>
          <w:iCs/>
          <w:highlight w:val="none"/>
          <w:shd w:fill="FFFF6D" w:val="clear"/>
        </w:rPr>
      </w:pPr>
      <w:r>
        <w:rPr>
          <w:rFonts w:eastAsia="Batang;바탕" w:cs="Times New Roman" w:ascii="Times New Roman" w:hAnsi="Times New Roman"/>
          <w:b/>
          <w:bCs/>
          <w:i/>
          <w:iCs/>
          <w:shd w:fill="FFFF6D" w:val="clear"/>
          <w:lang w:val="ru-RU"/>
        </w:rPr>
        <w:t>Название ОУ, адрес,</w:t>
      </w:r>
    </w:p>
    <w:p>
      <w:pPr>
        <w:pStyle w:val="Normal"/>
        <w:tabs>
          <w:tab w:val="clear" w:pos="708"/>
          <w:tab w:val="left" w:pos="1800" w:leader="none"/>
        </w:tabs>
        <w:ind w:hanging="0" w:right="98"/>
        <w:jc w:val="center"/>
        <w:rPr>
          <w:i/>
          <w:i/>
          <w:iCs/>
          <w:highlight w:val="none"/>
          <w:shd w:fill="FFFF6D" w:val="clear"/>
        </w:rPr>
      </w:pPr>
      <w:r>
        <w:rPr>
          <w:rFonts w:eastAsia="Batang;바탕" w:cs="Times New Roman" w:ascii="Times New Roman" w:hAnsi="Times New Roman"/>
          <w:bCs/>
          <w:i/>
          <w:iCs/>
          <w:shd w:fill="FFFF6D" w:val="clear"/>
          <w:lang w:val="ru-RU"/>
        </w:rPr>
        <w:t xml:space="preserve">ОКПО, ОГРН, ИНН </w:t>
      </w:r>
    </w:p>
    <w:p>
      <w:pPr>
        <w:pStyle w:val="Normal"/>
        <w:spacing w:lineRule="auto" w:line="360"/>
        <w:jc w:val="center"/>
        <w:rPr>
          <w:rFonts w:ascii="Times New Roman" w:hAnsi="Times New Roman" w:eastAsia="Batang;바탕" w:cs="Times New Roman"/>
          <w:b/>
          <w:bCs/>
          <w:sz w:val="28"/>
          <w:szCs w:val="28"/>
          <w:lang w:val="ru-RU"/>
        </w:rPr>
      </w:pPr>
      <w:r>
        <w:rPr>
          <w:rFonts w:eastAsia="Batang;바탕"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i/>
          <w:iCs/>
          <w:sz w:val="22"/>
          <w:shd w:fill="FFFF6D" w:val="clear"/>
          <w:lang w:val="ru-RU"/>
        </w:rPr>
        <w:t>__</w:t>
      </w:r>
      <w:r>
        <w:rPr>
          <w:rFonts w:cs="Times New Roman" w:ascii="Times New Roman" w:hAnsi="Times New Roman"/>
          <w:i/>
          <w:iCs/>
          <w:sz w:val="22"/>
          <w:shd w:fill="FFFF6D" w:val="clear"/>
          <w:lang w:val="ru-RU"/>
        </w:rPr>
        <w:t>дата</w:t>
      </w:r>
      <w:r>
        <w:rPr>
          <w:rFonts w:cs="Times New Roman" w:ascii="Times New Roman" w:hAnsi="Times New Roman"/>
          <w:i/>
          <w:iCs/>
          <w:sz w:val="22"/>
          <w:shd w:fill="FFFF6D" w:val="clear"/>
          <w:lang w:val="ru-RU"/>
        </w:rPr>
        <w:t>___</w:t>
      </w:r>
      <w:r>
        <w:rPr>
          <w:rFonts w:cs="Times New Roman" w:ascii="Times New Roman" w:hAnsi="Times New Roman"/>
          <w:sz w:val="22"/>
          <w:lang w:val="ru-RU"/>
        </w:rPr>
        <w:tab/>
        <w:tab/>
        <w:t xml:space="preserve">       </w:t>
        <w:tab/>
        <w:tab/>
        <w:tab/>
        <w:tab/>
        <w:tab/>
        <w:tab/>
        <w:tab/>
      </w:r>
      <w:r>
        <w:rPr>
          <w:rFonts w:cs="Times New Roman" w:ascii="Times New Roman" w:hAnsi="Times New Roman"/>
          <w:i/>
          <w:iCs/>
          <w:sz w:val="22"/>
          <w:shd w:fill="FFFF6D" w:val="clear"/>
          <w:lang w:val="ru-RU"/>
        </w:rPr>
        <w:t>№ ____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cs="Times New Roman" w:ascii="Times New Roman" w:hAnsi="Times New Roman"/>
          <w:b/>
          <w:sz w:val="26"/>
          <w:szCs w:val="26"/>
          <w:lang w:val="ru-RU"/>
        </w:rPr>
        <w:t>ПРОТОКОЛ</w:t>
      </w:r>
    </w:p>
    <w:p>
      <w:pPr>
        <w:pStyle w:val="Normal"/>
        <w:spacing w:lineRule="auto" w:line="360"/>
        <w:jc w:val="center"/>
        <w:rPr/>
      </w:pPr>
      <w:r>
        <w:rPr/>
        <w:t>Заседания комиссии по противодействию коррупции</w:t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76"/>
        <w:gridCol w:w="6662"/>
      </w:tblGrid>
      <w:tr>
        <w:trPr>
          <w:trHeight w:val="856" w:hRule="atLeast"/>
        </w:trPr>
        <w:tc>
          <w:tcPr>
            <w:tcW w:w="2976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  <w:t>Состав комиссии:</w:t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  <w:t>Председатель</w:t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  <w:t>Заместитель председателя комиссии</w:t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  <w:t>Члены комиссии</w:t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lang w:val="ru-RU" w:eastAsia="ru-RU" w:bidi="ar-SA"/>
              </w:rPr>
              <w:t>Секретарь комиссии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/>
                <w:lang w:val="ru-RU" w:eastAsia="ru-RU" w:bidi="ar-SA"/>
              </w:rPr>
            </w:r>
          </w:p>
        </w:tc>
        <w:tc>
          <w:tcPr>
            <w:tcW w:w="666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/>
                <w:lang w:val="ru-RU" w:eastAsia="ru-RU" w:bidi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/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ПОВЕСТКА ДНЯ:</w:t>
      </w:r>
    </w:p>
    <w:p>
      <w:pPr>
        <w:pStyle w:val="Normal"/>
        <w:numPr>
          <w:ilvl w:val="0"/>
          <w:numId w:val="4"/>
        </w:numPr>
        <w:ind w:hanging="0" w:left="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Контроль за локальными актами, касающимися организации противодействия коррупции в учреждении;</w:t>
      </w:r>
    </w:p>
    <w:p>
      <w:pPr>
        <w:pStyle w:val="Normal"/>
        <w:numPr>
          <w:ilvl w:val="0"/>
          <w:numId w:val="4"/>
        </w:numPr>
        <w:ind w:hanging="0" w:left="0"/>
        <w:jc w:val="both"/>
        <w:rPr/>
      </w:pPr>
      <w:r>
        <w:rPr>
          <w:rFonts w:cs="Times New Roman" w:ascii="Times New Roman" w:hAnsi="Times New Roman"/>
          <w:lang w:val="ru-RU"/>
        </w:rPr>
        <w:t xml:space="preserve">Постоянное обучение педагогов </w:t>
      </w:r>
      <w:r>
        <w:rPr>
          <w:rFonts w:cs="Times New Roman" w:ascii="Times New Roman" w:hAnsi="Times New Roman"/>
          <w:i/>
          <w:iCs/>
          <w:shd w:fill="FFFF6D" w:val="clear"/>
          <w:lang w:val="ru-RU"/>
        </w:rPr>
        <w:t xml:space="preserve">ОО </w:t>
      </w:r>
      <w:r>
        <w:rPr>
          <w:rFonts w:cs="Times New Roman" w:ascii="Times New Roman" w:hAnsi="Times New Roman"/>
          <w:i/>
          <w:iCs/>
          <w:shd w:fill="FFFF6D" w:val="clear"/>
          <w:lang w:val="ru-RU"/>
        </w:rPr>
        <w:t>района</w:t>
      </w:r>
      <w:r>
        <w:rPr>
          <w:rFonts w:cs="Times New Roman" w:ascii="Times New Roman" w:hAnsi="Times New Roman"/>
          <w:lang w:val="ru-RU"/>
        </w:rPr>
        <w:t xml:space="preserve"> в рамках ДПППК по вопросам нормативно-правового обеспечения образовательной деятельности. Антикоррупционная деятельность;</w:t>
      </w:r>
    </w:p>
    <w:p>
      <w:pPr>
        <w:pStyle w:val="Normal"/>
        <w:numPr>
          <w:ilvl w:val="0"/>
          <w:numId w:val="4"/>
        </w:numPr>
        <w:ind w:hanging="0" w:left="0"/>
        <w:jc w:val="both"/>
        <w:rPr/>
      </w:pPr>
      <w:r>
        <w:rPr>
          <w:rFonts w:cs="Times New Roman" w:ascii="Times New Roman" w:hAnsi="Times New Roman"/>
          <w:lang w:val="ru-RU"/>
        </w:rPr>
        <w:t xml:space="preserve">Контроль за выполнением Плана мероприятий по противодействию коррупции             на 2023-2027 годы в </w:t>
      </w:r>
      <w:r>
        <w:rPr>
          <w:rFonts w:cs="Times New Roman" w:ascii="Times New Roman" w:hAnsi="Times New Roman"/>
          <w:i/>
          <w:iCs/>
          <w:shd w:fill="FFFF6D" w:val="clear"/>
          <w:lang w:val="ru-RU"/>
        </w:rPr>
        <w:t xml:space="preserve">ОУ </w:t>
      </w:r>
      <w:r>
        <w:rPr>
          <w:rFonts w:cs="Times New Roman" w:ascii="Times New Roman" w:hAnsi="Times New Roman"/>
          <w:lang w:val="ru-RU"/>
        </w:rPr>
        <w:t>в 2024-2025 учебном году;</w:t>
      </w:r>
    </w:p>
    <w:p>
      <w:pPr>
        <w:pStyle w:val="Normal"/>
        <w:numPr>
          <w:ilvl w:val="0"/>
          <w:numId w:val="4"/>
        </w:numPr>
        <w:ind w:hanging="0" w:left="0"/>
        <w:jc w:val="both"/>
        <w:rPr/>
      </w:pPr>
      <w:r>
        <w:rPr>
          <w:rFonts w:cs="Times New Roman" w:ascii="Times New Roman" w:hAnsi="Times New Roman"/>
          <w:lang w:val="ru-RU"/>
        </w:rPr>
        <w:t xml:space="preserve">О ходе реализации антикоррупционной политики </w:t>
      </w:r>
      <w:r>
        <w:rPr>
          <w:rFonts w:cs="Times New Roman" w:ascii="Times New Roman" w:hAnsi="Times New Roman"/>
          <w:i/>
          <w:iCs/>
          <w:shd w:fill="FFFF6D" w:val="clear"/>
          <w:lang w:val="ru-RU"/>
        </w:rPr>
        <w:t xml:space="preserve">ОУ района </w:t>
      </w:r>
      <w:r>
        <w:rPr>
          <w:rFonts w:cs="Times New Roman" w:ascii="Times New Roman" w:hAnsi="Times New Roman"/>
          <w:lang w:val="ru-RU"/>
        </w:rPr>
        <w:t xml:space="preserve">района Санкт-Петербурга за </w:t>
      </w:r>
      <w:r>
        <w:rPr>
          <w:rFonts w:cs="Times New Roman" w:ascii="Times New Roman" w:hAnsi="Times New Roman"/>
        </w:rPr>
        <w:t>I</w:t>
      </w:r>
      <w:r>
        <w:rPr>
          <w:rFonts w:cs="Times New Roman" w:ascii="Times New Roman" w:hAnsi="Times New Roman"/>
          <w:lang w:val="ru-RU"/>
        </w:rPr>
        <w:t>-е полугодие 2025 года и своевременном размещении информации о работе комиссии на сайте учреждения.</w:t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СЛУШАЛИ:</w:t>
      </w:r>
    </w:p>
    <w:p>
      <w:pPr>
        <w:pStyle w:val="Normal"/>
        <w:numPr>
          <w:ilvl w:val="0"/>
          <w:numId w:val="3"/>
        </w:numPr>
        <w:ind w:firstLine="357" w:left="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Председателя комиссии</w:t>
      </w:r>
      <w:r>
        <w:rPr>
          <w:rFonts w:cs="Times New Roman" w:ascii="Times New Roman" w:hAnsi="Times New Roman"/>
          <w:shd w:fill="FFFF6D" w:val="clear"/>
          <w:lang w:val="ru-RU"/>
        </w:rPr>
        <w:t xml:space="preserve"> </w:t>
      </w:r>
      <w:r>
        <w:rPr>
          <w:rFonts w:cs="Times New Roman" w:ascii="Times New Roman" w:hAnsi="Times New Roman"/>
          <w:shd w:fill="FFFF6D" w:val="clear"/>
          <w:lang w:val="ru-RU"/>
        </w:rPr>
        <w:t>___</w:t>
      </w:r>
      <w:r>
        <w:rPr>
          <w:rFonts w:cs="Times New Roman" w:ascii="Times New Roman" w:hAnsi="Times New Roman"/>
          <w:shd w:fill="FFFF6D" w:val="clear"/>
          <w:lang w:val="ru-RU"/>
        </w:rPr>
        <w:t>.:</w:t>
      </w:r>
    </w:p>
    <w:p>
      <w:pPr>
        <w:pStyle w:val="Normal"/>
        <w:numPr>
          <w:ilvl w:val="0"/>
          <w:numId w:val="5"/>
        </w:numPr>
        <w:ind w:firstLine="357" w:left="0"/>
        <w:jc w:val="both"/>
        <w:rPr/>
      </w:pPr>
      <w:r>
        <w:rPr>
          <w:rFonts w:cs="Times New Roman" w:ascii="Times New Roman" w:hAnsi="Times New Roman"/>
          <w:lang w:val="ru-RU"/>
        </w:rPr>
        <w:t>по первому вопросу: в мае 2025 года был проведен анализ локальных актов учреждения, касающихся организации противодействия коррупции.</w:t>
      </w:r>
    </w:p>
    <w:p>
      <w:pPr>
        <w:pStyle w:val="Normal"/>
        <w:numPr>
          <w:ilvl w:val="0"/>
          <w:numId w:val="5"/>
        </w:numPr>
        <w:ind w:firstLine="357" w:left="0"/>
        <w:jc w:val="both"/>
        <w:rPr/>
      </w:pPr>
      <w:r>
        <w:rPr>
          <w:rFonts w:cs="Times New Roman" w:ascii="Times New Roman" w:hAnsi="Times New Roman"/>
          <w:lang w:val="ru-RU"/>
        </w:rPr>
        <w:t>по второму вопросу: в рамках всех ДПППК на 2024-2025 учебный год запланирован  и реализован 1 час на изучение темы «Нормативно-правовое обеспечение образовательной деятельности. Антикоррупционная деятельность»</w:t>
      </w:r>
    </w:p>
    <w:p>
      <w:pPr>
        <w:pStyle w:val="Normal"/>
        <w:numPr>
          <w:ilvl w:val="0"/>
          <w:numId w:val="5"/>
        </w:numPr>
        <w:ind w:firstLine="357" w:left="0"/>
        <w:jc w:val="both"/>
        <w:rPr/>
      </w:pPr>
      <w:r>
        <w:rPr>
          <w:rFonts w:cs="Times New Roman" w:ascii="Times New Roman" w:hAnsi="Times New Roman"/>
          <w:lang w:val="ru-RU"/>
        </w:rPr>
        <w:t xml:space="preserve">по третьему вопросу: План мероприятий по противодействию коррупции                        на 2023-2027 годы в </w:t>
      </w:r>
      <w:r>
        <w:rPr>
          <w:rFonts w:cs="Times New Roman" w:ascii="Times New Roman" w:hAnsi="Times New Roman"/>
          <w:i/>
          <w:iCs/>
          <w:shd w:fill="FFFF6D" w:val="clear"/>
          <w:lang w:val="ru-RU"/>
        </w:rPr>
        <w:t xml:space="preserve">ОУ </w:t>
      </w:r>
      <w:r>
        <w:rPr>
          <w:rFonts w:cs="Times New Roman" w:ascii="Times New Roman" w:hAnsi="Times New Roman"/>
          <w:i/>
          <w:iCs/>
          <w:shd w:fill="FFFF6D" w:val="clear"/>
          <w:lang w:val="ru-RU"/>
        </w:rPr>
        <w:t>района</w:t>
      </w:r>
      <w:r>
        <w:rPr>
          <w:rFonts w:cs="Times New Roman" w:ascii="Times New Roman" w:hAnsi="Times New Roman"/>
          <w:lang w:val="ru-RU"/>
        </w:rPr>
        <w:t xml:space="preserve"> Санкт-Петербурга выполняется.</w:t>
      </w:r>
    </w:p>
    <w:p>
      <w:pPr>
        <w:pStyle w:val="Normal"/>
        <w:numPr>
          <w:ilvl w:val="0"/>
          <w:numId w:val="3"/>
        </w:numPr>
        <w:ind w:firstLine="709" w:left="0"/>
        <w:jc w:val="both"/>
        <w:rPr/>
      </w:pPr>
      <w:r>
        <w:rPr>
          <w:rFonts w:cs="Times New Roman" w:ascii="Times New Roman" w:hAnsi="Times New Roman"/>
          <w:lang w:val="ru-RU"/>
        </w:rPr>
        <w:t xml:space="preserve">По четвертому вопросу: заместителя председателя комиссии </w:t>
      </w:r>
      <w:r>
        <w:rPr>
          <w:rFonts w:cs="Times New Roman" w:ascii="Times New Roman" w:hAnsi="Times New Roman"/>
          <w:shd w:fill="FFFF6D" w:val="clear"/>
          <w:lang w:val="ru-RU"/>
        </w:rPr>
        <w:t>___</w:t>
      </w:r>
      <w:r>
        <w:rPr>
          <w:rFonts w:cs="Times New Roman" w:ascii="Times New Roman" w:hAnsi="Times New Roman"/>
          <w:shd w:fill="FFFF6D" w:val="clear"/>
          <w:lang w:val="ru-RU"/>
        </w:rPr>
        <w:t xml:space="preserve">, </w:t>
      </w:r>
      <w:r>
        <w:rPr>
          <w:rFonts w:cs="Times New Roman" w:ascii="Times New Roman" w:hAnsi="Times New Roman"/>
          <w:lang w:val="ru-RU"/>
        </w:rPr>
        <w:t xml:space="preserve">который сообщил, что по результатам проведенной работы в </w:t>
      </w:r>
      <w:r>
        <w:rPr>
          <w:rFonts w:cs="Times New Roman" w:ascii="Times New Roman" w:hAnsi="Times New Roman"/>
        </w:rPr>
        <w:t>I</w:t>
      </w:r>
      <w:r>
        <w:rPr>
          <w:rFonts w:cs="Times New Roman" w:ascii="Times New Roman" w:hAnsi="Times New Roman"/>
          <w:lang w:val="ru-RU"/>
        </w:rPr>
        <w:t xml:space="preserve"> полугодии 2025 года случаев коррупционных нарушений не выявлено.</w:t>
      </w:r>
    </w:p>
    <w:p>
      <w:pPr>
        <w:pStyle w:val="Normal"/>
        <w:ind w:hanging="0" w:left="72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ind w:hanging="0" w:left="36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РЕШИЛИ: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Осуществлять дальнейший контроль: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за соответствием действующему законодательству РФ нормативных локальных актов, касающихся организации противодействия коррупции в учреждении;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за выполнением Плана мероприятий по противодействию коррупции в </w:t>
      </w:r>
      <w:r>
        <w:rPr>
          <w:rFonts w:cs="Times New Roman" w:ascii="Times New Roman" w:hAnsi="Times New Roman"/>
          <w:i/>
          <w:iCs/>
          <w:shd w:fill="FFFF6D" w:val="clear"/>
          <w:lang w:val="ru-RU"/>
        </w:rPr>
        <w:t>ОУ</w:t>
      </w:r>
      <w:r>
        <w:rPr>
          <w:rFonts w:cs="Times New Roman" w:ascii="Times New Roman" w:hAnsi="Times New Roman"/>
          <w:i/>
          <w:iCs/>
          <w:shd w:fill="FFFF6D" w:val="clear"/>
          <w:lang w:val="ru-RU"/>
        </w:rPr>
        <w:t xml:space="preserve"> района</w:t>
      </w:r>
      <w:r>
        <w:rPr>
          <w:rFonts w:cs="Times New Roman" w:ascii="Times New Roman" w:hAnsi="Times New Roman"/>
          <w:lang w:val="ru-RU"/>
        </w:rPr>
        <w:t xml:space="preserve"> Санкт-Петербурга;</w:t>
      </w:r>
    </w:p>
    <w:p>
      <w:pPr>
        <w:pStyle w:val="Normal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за соблюдением законодательства при размещении заказов на поставку товаров, работ и услуг для нужд учреждения.</w:t>
      </w:r>
    </w:p>
    <w:p>
      <w:pPr>
        <w:pStyle w:val="Normal"/>
        <w:numPr>
          <w:ilvl w:val="0"/>
          <w:numId w:val="2"/>
        </w:numPr>
        <w:ind w:firstLine="357" w:left="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Своевременно размещать информацию о работе комиссии по противодействию коррупции на официальном сайте учреждения.</w:t>
      </w:r>
    </w:p>
    <w:p>
      <w:pPr>
        <w:pStyle w:val="Normal"/>
        <w:ind w:hanging="0" w:left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Председатель комиссии</w:t>
        <w:tab/>
        <w:tab/>
        <w:tab/>
        <w:tab/>
        <w:tab/>
        <w:tab/>
        <w:tab/>
        <w:tab/>
        <w:t xml:space="preserve"> </w:t>
      </w:r>
      <w:r>
        <w:rPr>
          <w:rFonts w:cs="Times New Roman" w:ascii="Times New Roman" w:hAnsi="Times New Roman"/>
          <w:shd w:fill="FFFF6D" w:val="clear"/>
          <w:lang w:val="ru-RU"/>
        </w:rPr>
        <w:t>___</w:t>
      </w:r>
      <w:r>
        <w:rPr>
          <w:rFonts w:cs="Times New Roman" w:ascii="Times New Roman" w:hAnsi="Times New Roman"/>
          <w:shd w:fill="FFFF6D" w:val="clear"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 xml:space="preserve">  </w:t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Главный специалист отдела образования</w:t>
        <w:tab/>
        <w:tab/>
        <w:tab/>
        <w:tab/>
        <w:tab/>
        <w:tab/>
        <w:t xml:space="preserve"> </w:t>
      </w:r>
      <w:r>
        <w:rPr>
          <w:rFonts w:cs="Times New Roman" w:ascii="Times New Roman" w:hAnsi="Times New Roman"/>
          <w:shd w:fill="FFFF6D" w:val="clear"/>
          <w:lang w:val="ru-RU"/>
        </w:rPr>
        <w:t xml:space="preserve"> </w:t>
      </w:r>
      <w:r>
        <w:rPr>
          <w:rFonts w:cs="Times New Roman" w:ascii="Times New Roman" w:hAnsi="Times New Roman"/>
          <w:shd w:fill="FFFF6D" w:val="clear"/>
          <w:lang w:val="ru-RU"/>
        </w:rPr>
        <w:t>___</w:t>
      </w:r>
      <w:r>
        <w:rPr>
          <w:rFonts w:cs="Times New Roman" w:ascii="Times New Roman" w:hAnsi="Times New Roman"/>
          <w:shd w:fill="FFFF6D" w:val="clear"/>
          <w:lang w:val="ru-RU"/>
        </w:rPr>
        <w:t xml:space="preserve">   </w:t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Секретарь комиссии </w:t>
        <w:tab/>
        <w:tab/>
        <w:tab/>
        <w:tab/>
        <w:tab/>
        <w:tab/>
        <w:tab/>
        <w:tab/>
        <w:t xml:space="preserve"> </w:t>
      </w:r>
      <w:r>
        <w:rPr>
          <w:rFonts w:cs="Times New Roman" w:ascii="Times New Roman" w:hAnsi="Times New Roman"/>
          <w:shd w:fill="FFFF6D" w:val="clear"/>
          <w:lang w:val="ru-RU"/>
        </w:rPr>
        <w:t xml:space="preserve"> </w:t>
      </w:r>
      <w:r>
        <w:rPr>
          <w:rFonts w:cs="Times New Roman" w:ascii="Times New Roman" w:hAnsi="Times New Roman"/>
          <w:shd w:fill="FFFF6D" w:val="clear"/>
          <w:lang w:val="ru-RU"/>
        </w:rPr>
        <w:t>___</w:t>
      </w:r>
      <w:r>
        <w:rPr>
          <w:rFonts w:cs="Times New Roman" w:ascii="Times New Roman" w:hAnsi="Times New Roman"/>
          <w:shd w:fill="FFFF6D" w:val="clear"/>
          <w:lang w:val="ru-RU"/>
        </w:rPr>
        <w:t xml:space="preserve">  </w:t>
      </w:r>
    </w:p>
    <w:p>
      <w:pPr>
        <w:pStyle w:val="Normal"/>
        <w:jc w:val="both"/>
        <w:rPr>
          <w:rFonts w:ascii="Times New Roman" w:hAnsi="Times New Roman" w:cs="Times New Roman"/>
          <w:color w:val="FFFF00"/>
          <w:highlight w:val="none"/>
          <w:shd w:fill="FFFF6D" w:val="clear"/>
          <w:lang w:val="ru-RU"/>
        </w:rPr>
      </w:pPr>
      <w:r>
        <w:rPr>
          <w:rFonts w:cs="Times New Roman" w:ascii="Times New Roman" w:hAnsi="Times New Roman"/>
          <w:color w:val="FFFF00"/>
          <w:shd w:fill="FFFF6D" w:val="clear"/>
          <w:lang w:val="ru-RU"/>
        </w:rPr>
      </w:r>
    </w:p>
    <w:sectPr>
      <w:type w:val="nextPage"/>
      <w:pgSz w:w="11906" w:h="16838"/>
      <w:pgMar w:left="1418" w:right="850" w:gutter="0" w:header="0" w:top="993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  <w:font w:name="Cambria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1"/>
    <w:family w:val="auto"/>
    <w:pitch w:val="default"/>
  </w:font>
  <w:font w:name="Segoe UI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isLgl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isLgl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isLgl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isLgl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isLgl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isLgl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isLgl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isLgl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isLgl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isLgl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isLgl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isLgl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isLgl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4"/>
      <w:szCs w:val="24"/>
      <w:lang w:val="en-US" w:eastAsia="zh-CN" w:bidi="en-US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/>
  </w:style>
  <w:style w:type="character" w:styleId="Style7">
    <w:name w:val="Основной шрифт абзаца"/>
    <w:qFormat/>
    <w:rPr/>
  </w:style>
  <w:style w:type="character" w:styleId="1">
    <w:name w:val="Заголовок 1 Знак"/>
    <w:qFormat/>
    <w:rPr>
      <w:rFonts w:ascii="Cambria" w:hAnsi="Cambria" w:eastAsia="Times New Roman" w:cs="Cambria"/>
      <w:b/>
      <w:bCs/>
      <w:sz w:val="32"/>
      <w:szCs w:val="32"/>
      <w:lang w:val="en-US" w:bidi="en-US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  <w:lang w:val="en-US" w:bidi="en-US"/>
    </w:rPr>
  </w:style>
  <w:style w:type="character" w:styleId="Style8">
    <w:name w:val="Текст выноски Знак"/>
    <w:qFormat/>
    <w:rPr>
      <w:rFonts w:ascii="Segoe UI" w:hAnsi="Segoe UI" w:eastAsia="Times New Roman" w:cs="Segoe UI"/>
      <w:sz w:val="18"/>
      <w:szCs w:val="18"/>
      <w:lang w:val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zh-CN" w:bidi="ar-SA"/>
    </w:rPr>
  </w:style>
  <w:style w:type="paragraph" w:styleId="Style11">
    <w:name w:val="Абзац списка"/>
    <w:basedOn w:val="Normal"/>
    <w:qFormat/>
    <w:pPr>
      <w:spacing w:lineRule="auto" w:line="360" w:before="0" w:after="0"/>
      <w:ind w:hanging="0" w:left="720"/>
      <w:contextualSpacing/>
    </w:pPr>
    <w:rPr>
      <w:rFonts w:ascii="Times New Roman" w:hAnsi="Times New Roman" w:eastAsia="Calibri" w:cs="Times New Roman"/>
      <w:sz w:val="28"/>
      <w:szCs w:val="22"/>
      <w:lang w:val="ru-RU" w:bidi="ar-SA"/>
    </w:rPr>
  </w:style>
  <w:style w:type="paragraph" w:styleId="Style12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3">
    <w:name w:val="Содержимое таблицы"/>
    <w:basedOn w:val="Normal"/>
    <w:qFormat/>
    <w:pPr>
      <w:widowControl w:val="false"/>
      <w:suppressLineNumbers/>
    </w:pPr>
    <w:rPr/>
  </w:style>
  <w:style w:type="paragraph" w:styleId="Style14">
    <w:name w:val="Заголовок таблицы"/>
    <w:basedOn w:val="Style1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Style15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LibreOffice/24.8.4.2$Linux_X86_64 LibreOffice_project/480$Build-2</Application>
  <AppVersion>15.0000</AppVersion>
  <Pages>2</Pages>
  <Words>262</Words>
  <Characters>1841</Characters>
  <CharactersWithSpaces>2144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2025-06-10T12:33:00Z</dcterms:created>
  <dc:creator>Ларичева Ирина Ивановна</dc:creator>
  <dc:description/>
  <dc:language>en-US</dc:language>
  <cp:lastModifiedBy/>
  <dcterms:modified xsi:type="dcterms:W3CDTF">2025-06-17T14:04:56Z</dcterms:modified>
  <cp:revision>7</cp:revision>
  <dc:subject/>
  <dc:title/>
</cp:coreProperties>
</file>